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875"/>
        <w:gridCol w:w="915"/>
        <w:gridCol w:w="4725"/>
        <w:gridCol w:w="1275"/>
        <w:gridCol w:w="12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2019年参加评审例会人员名单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申报专业及资格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本溪市人防指挥中心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本溪市华福房地产开发有限责任公司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本溪湖经济开发区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张祺海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夏琳琳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本溪满族自治县宏业建设监理事务所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本溪太平洋投资建设有限公司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庞茂楷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本溪高新技术产业开发区规划住房建设局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本溪市重点产业发展服务中心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大连建实建设项目管理有限公司本溪宏岩分公司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本溪市城乡建设综合开发公司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宋林林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辽宁民盛建安工程有限公司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辽宁民盛建安工程有限公司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 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辽宁民盛建安工程有限公司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刘乐天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杨镇荣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本溪市建筑工程质量检测中心有限公司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邹积磊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本溪高新技术产业开发区公共平台管理中心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采暖通风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牟媛媛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刘畅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本钢设计研究院有限责任公司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本溪市城市运行服务中心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城市景观与风景园林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本溪市城市运行服务中心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城市景观与风景园林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关丽莉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本溪市城市运行服务中心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城市景观与风景园林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本溪市规划设计研究院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本溪市规划设计研究院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孟宪栋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杨京宁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本钢设计研究院有限责任公司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丁做原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本溪满族自治县宏业建设监理事务所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本溪满族自治县建筑工程质量监督检测中心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辽宁中联资产评估有限责任公司本溪分公司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毕诗秀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辽宁壹立方建设工程有限公司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史广辉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本溪金盈城建工程有限公司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本溪富虹房地产开发建筑有限公司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本溪市恒信建筑装饰有限公司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兰升青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辽宁顺鑫公路工程有限责任公司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吉尚旭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何雨丝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辽宁正邦房地产有限公司本溪分公司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李新阳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本溪恒升装饰装修有限公司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辽宁华泰电力实业有限公司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齐海明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辽宁翰林建设项目管理有限公司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辽宁翰林建设项目管理有限公司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城市景观与风景园林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王复力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辽宁翰林建设项目管理有限公司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钮洪亮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辽宁泰丰电气股份有限公司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辽宁泛华工程造价咨询有限公司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辽宁泛华工程造价咨询有限公司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辽宁泛华工程造价咨询有限公司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辽宁泛华工程造价咨询有限公司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本溪钢铁（集团）建设有限责任公司建筑工程分公司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本溪钢铁（集团）建设有限责任公司建筑工程分公司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本溪钢铁（集团）建设有限责任公司建筑工程分公司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本溪钢铁（集团）建设有限责任公司建筑工程分公司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本溪钢铁（集团）建设有限责任公司建筑工程分公司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本溪丰嘉建设工程有限公司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本溪丰嘉建设工程有限公司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城市景观与风景园林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辽宁溪城工程项目管理有限责任公司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辽宁溪城工程项目管理有限责任公司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本溪市明山区城乡建设综合服务中心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何欣宇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辽宁广通工程有限公司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高晋娜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辽宁实华（集团）房地产开发有限公司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本溪高新技术产业开发区工程质量监督站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桓仁满族自治县市政园林所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本溪城市建设控股项目管理有限公司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本溪赛维通信工程有限公司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城市景观与风景园林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本溪市建工综合开发有限公司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孟令峰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本溪市建工综合开发有限公司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本溪市建工综合开发有限公司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臧倩倩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本溪市建工综合开发有限公司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宗锐锋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辽宁民盛建安工程有限公司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姜春宝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辽宁民盛建安工程有限公司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本溪港华燃气有限公司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煤气热力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本溪港华燃气有限公司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煤气热力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本溪港华燃气有限公司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本溪港华燃气有限公司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工程结构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 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辽宁民盛建安工程有限公司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采暖通风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辽宁民盛建安工程有限公司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辽宁鑫荣建设项目管理有限公司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本溪市建筑工程质量检测中心有限公司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 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任恒靓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本溪市建筑工程质量检测中心有限公司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辽宁璟华建设工程有限公司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本溪永升建筑工程有限公司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陈连颖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本溪嘉诚建筑有限公司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本钢设计研究院有限责任公司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杨犀灵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本钢设计研究院有限责任公司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本溪嘉诚建筑有限公司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辽宁信达工程造价咨询有限公司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赵黎黎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辽宁辽东水务控股有限责任公司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辽宁辽东水务控股有限责任公司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辽宁辽东水务控股有限责任公司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辽宁辽东水务控股有限责任公司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辽宁辽东水务控股有限责任公司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本钢设计研究院有限责任公司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石克庆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本溪经济开发区城乡建设有限公司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辽宁仁凯工程有限公司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本溪市建工综合开发有限公司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本溪市建工综合开发有限公司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于其发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桓仁五女山城市建设投资开发有限公司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本溪市祺鑫房地产开发有限公司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辽宁金汇建筑工程有限公司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北京东方利禾景观设计有限公司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梁宏刚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桓仁鑫达建设工程有限公司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桓仁顺达建筑安装有限公司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66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马海龙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肖亚楠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本溪经济开发区城乡建设有限公司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本溪经济开发区城乡建设有限公司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本溪经济开发区城乡建设有限公司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本溪瑞信岩土工程有限公司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胡殿余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城市景观与风景园林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振华（辽宁）工程管理咨询有限公司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绳志强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振华（辽宁）工程管理咨询有限公司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辽宁东工科技环保工程有限公司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张威威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桓仁博奥建筑安装有限责任公司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建筑电气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辽宁泛华工程造价咨询有限公司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本溪钢铁（集团）建设有限责任公司建筑工程分公司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本溪金桂实业有限公司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本溪市至诚居建筑工程有限责任公司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孙国辉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本溪市建工综合开发有限公司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本溪欧陆置业有限公司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段恒涛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本溪港华燃气有限公司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朴亮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本溪港华燃气有限公司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张孟雪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郭晓赫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本溪电力安装有限责任公司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衣丽颖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辽宁腾达建筑有限公司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赵峻毅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本溪市金桂物业管理有限责任公司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曾子瑞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本钢设计研究院有限责任公司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任承博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本钢设计研究院有限责任公司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工程概预算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王祎楠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本溪市城市运行服务中心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本溪市城市运行服务中心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辽宁辽东水务控股有限责任公司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本溪市住房保障服务中心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潘富家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本溪市住房保障服务中心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</w:tbl>
    <w:p/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80A03"/>
    <w:rsid w:val="58280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2019-12-23T09:02:00Z</dcterms:created>
  <dc:creator>哆啦球小球。</dc:creator>
  <cp:lastModifiedBy>哆啦球小球。</cp:lastModifiedBy>
  <dcterms:modified xsi:type="dcterms:W3CDTF">2019-12-23T09:04:09Z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